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16A8" w14:textId="3D686AB0" w:rsidR="00AF6F2D" w:rsidRDefault="00F42A1D" w:rsidP="00973F86">
      <w:pPr>
        <w:jc w:val="both"/>
      </w:pPr>
      <w:r w:rsidRPr="00F42A1D">
        <w:t>До 1 марта 2023 года гражданин, с которым заключен договор безвозмездного пользования земельным участком по программе «Дальневосточный гектар», вправе подать в уполномоченный орган заявление о предоставлении такого земельного участка в собственность или в аренду на срок до сорока девяти лет. При этом истечение срока действия договора не учитывается.</w:t>
      </w:r>
    </w:p>
    <w:sectPr w:rsidR="00AF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91"/>
    <w:rsid w:val="000D6291"/>
    <w:rsid w:val="00973F86"/>
    <w:rsid w:val="00AF6F2D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63EC-F991-4345-B855-DD488E8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 Илья С.</dc:creator>
  <cp:keywords/>
  <dc:description/>
  <cp:lastModifiedBy>Брюзгин Илья С.</cp:lastModifiedBy>
  <cp:revision>3</cp:revision>
  <dcterms:created xsi:type="dcterms:W3CDTF">2023-01-20T00:46:00Z</dcterms:created>
  <dcterms:modified xsi:type="dcterms:W3CDTF">2023-01-20T00:46:00Z</dcterms:modified>
</cp:coreProperties>
</file>